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D4054" w14:textId="77777777" w:rsidR="00EF78AB" w:rsidRPr="00AB5B01" w:rsidRDefault="00EF78AB" w:rsidP="00EF78AB">
      <w:pPr>
        <w:ind w:left="5040"/>
        <w:rPr>
          <w:rFonts w:eastAsia="Calibri"/>
          <w:kern w:val="2"/>
          <w:sz w:val="24"/>
          <w:szCs w:val="24"/>
          <w:lang w:eastAsia="en-US"/>
        </w:rPr>
      </w:pPr>
      <w:r w:rsidRPr="00AB5B01">
        <w:rPr>
          <w:rFonts w:eastAsia="Calibri"/>
          <w:kern w:val="2"/>
          <w:sz w:val="24"/>
          <w:szCs w:val="24"/>
          <w:lang w:eastAsia="en-US"/>
        </w:rPr>
        <w:t xml:space="preserve">УТВЕРЖДЕНА </w:t>
      </w:r>
    </w:p>
    <w:p w14:paraId="7FC9A8B5" w14:textId="77777777" w:rsidR="00EF78AB" w:rsidRPr="00AB5B01" w:rsidRDefault="00EF78AB" w:rsidP="00EF78AB">
      <w:pPr>
        <w:ind w:left="5040"/>
        <w:rPr>
          <w:rFonts w:eastAsia="Calibri"/>
          <w:kern w:val="2"/>
          <w:sz w:val="24"/>
          <w:szCs w:val="24"/>
          <w:lang w:eastAsia="en-US"/>
        </w:rPr>
      </w:pPr>
      <w:r w:rsidRPr="00AB5B01">
        <w:rPr>
          <w:rFonts w:eastAsia="Calibri"/>
          <w:kern w:val="2"/>
          <w:sz w:val="24"/>
          <w:szCs w:val="24"/>
          <w:lang w:eastAsia="en-US"/>
        </w:rPr>
        <w:t xml:space="preserve">постановлением администрации </w:t>
      </w:r>
    </w:p>
    <w:p w14:paraId="765A31EB" w14:textId="77777777" w:rsidR="00EF78AB" w:rsidRPr="00AB5B01" w:rsidRDefault="00EF78AB" w:rsidP="00EF78AB">
      <w:pPr>
        <w:ind w:left="5040"/>
        <w:rPr>
          <w:rFonts w:eastAsia="Calibri"/>
          <w:kern w:val="2"/>
          <w:sz w:val="24"/>
          <w:szCs w:val="24"/>
          <w:lang w:eastAsia="en-US"/>
        </w:rPr>
      </w:pPr>
      <w:r w:rsidRPr="00AB5B01">
        <w:rPr>
          <w:rFonts w:eastAsia="Calibri"/>
          <w:kern w:val="2"/>
          <w:sz w:val="24"/>
          <w:szCs w:val="24"/>
          <w:lang w:eastAsia="en-US"/>
        </w:rPr>
        <w:t>Тихвинского района</w:t>
      </w:r>
    </w:p>
    <w:p w14:paraId="7D3A0279" w14:textId="77777777" w:rsidR="00EF78AB" w:rsidRPr="00AB5B01" w:rsidRDefault="00EF78AB" w:rsidP="00EF78AB">
      <w:pPr>
        <w:ind w:left="5040"/>
        <w:rPr>
          <w:rFonts w:eastAsia="Calibri"/>
          <w:kern w:val="2"/>
          <w:sz w:val="24"/>
          <w:szCs w:val="24"/>
          <w:lang w:eastAsia="en-US"/>
        </w:rPr>
      </w:pPr>
      <w:r w:rsidRPr="00AB5B01">
        <w:rPr>
          <w:rFonts w:eastAsia="Calibri"/>
          <w:kern w:val="2"/>
          <w:sz w:val="24"/>
          <w:szCs w:val="24"/>
          <w:lang w:eastAsia="en-US"/>
        </w:rPr>
        <w:t xml:space="preserve">от </w:t>
      </w:r>
      <w:r>
        <w:rPr>
          <w:rFonts w:eastAsia="Calibri"/>
          <w:kern w:val="2"/>
          <w:sz w:val="24"/>
          <w:szCs w:val="24"/>
          <w:lang w:eastAsia="en-US"/>
        </w:rPr>
        <w:t>1 ноября</w:t>
      </w:r>
      <w:r w:rsidRPr="00AB5B01">
        <w:rPr>
          <w:rFonts w:eastAsia="Calibri"/>
          <w:kern w:val="2"/>
          <w:sz w:val="24"/>
          <w:szCs w:val="24"/>
          <w:lang w:eastAsia="en-US"/>
        </w:rPr>
        <w:t xml:space="preserve"> 2025 г. №01-</w:t>
      </w:r>
      <w:r>
        <w:rPr>
          <w:rFonts w:eastAsia="Calibri"/>
          <w:kern w:val="2"/>
          <w:sz w:val="24"/>
          <w:szCs w:val="24"/>
          <w:lang w:eastAsia="en-US"/>
        </w:rPr>
        <w:t>2919</w:t>
      </w:r>
      <w:r w:rsidRPr="00AB5B01">
        <w:rPr>
          <w:rFonts w:eastAsia="Calibri"/>
          <w:kern w:val="2"/>
          <w:sz w:val="24"/>
          <w:szCs w:val="24"/>
          <w:lang w:eastAsia="en-US"/>
        </w:rPr>
        <w:t>-а</w:t>
      </w:r>
    </w:p>
    <w:p w14:paraId="357DD0C5" w14:textId="77777777" w:rsidR="00EF78AB" w:rsidRPr="00AB5B01" w:rsidRDefault="00EF78AB" w:rsidP="00EF78AB">
      <w:pPr>
        <w:ind w:left="5040"/>
        <w:rPr>
          <w:rFonts w:eastAsia="Calibri"/>
          <w:kern w:val="2"/>
          <w:sz w:val="24"/>
          <w:szCs w:val="24"/>
          <w:lang w:eastAsia="en-US"/>
        </w:rPr>
      </w:pPr>
      <w:r w:rsidRPr="00AB5B01">
        <w:rPr>
          <w:rFonts w:eastAsia="Calibri"/>
          <w:kern w:val="2"/>
          <w:sz w:val="24"/>
          <w:szCs w:val="24"/>
          <w:lang w:eastAsia="en-US"/>
        </w:rPr>
        <w:t>(приложение)</w:t>
      </w:r>
    </w:p>
    <w:p w14:paraId="36BEF64D" w14:textId="77777777" w:rsidR="00EF78AB" w:rsidRPr="00A22FDB" w:rsidRDefault="00EF78AB" w:rsidP="00EF78AB">
      <w:pPr>
        <w:spacing w:after="160"/>
        <w:rPr>
          <w:rFonts w:eastAsia="Calibri"/>
          <w:color w:val="000000"/>
          <w:kern w:val="2"/>
          <w:sz w:val="24"/>
          <w:szCs w:val="24"/>
          <w:lang w:eastAsia="en-US"/>
        </w:rPr>
      </w:pPr>
    </w:p>
    <w:p w14:paraId="56FBAE8E" w14:textId="77777777" w:rsidR="00EF78AB" w:rsidRPr="00EF78AB" w:rsidRDefault="00EF78AB" w:rsidP="00EF78AB">
      <w:pPr>
        <w:jc w:val="center"/>
        <w:rPr>
          <w:rFonts w:eastAsia="Calibri"/>
          <w:b/>
          <w:bCs/>
          <w:color w:val="000000"/>
          <w:kern w:val="2"/>
          <w:szCs w:val="28"/>
          <w:lang w:eastAsia="en-US"/>
        </w:rPr>
      </w:pP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t xml:space="preserve">Муниципальная программа </w:t>
      </w: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br/>
        <w:t>Тихвинского городского поселения</w:t>
      </w:r>
    </w:p>
    <w:p w14:paraId="10645B79" w14:textId="77777777" w:rsidR="00EF78AB" w:rsidRPr="00EF78AB" w:rsidRDefault="00EF78AB" w:rsidP="00EF78AB">
      <w:pPr>
        <w:jc w:val="center"/>
        <w:rPr>
          <w:rFonts w:eastAsia="Calibri"/>
          <w:color w:val="000000"/>
          <w:kern w:val="2"/>
          <w:szCs w:val="28"/>
          <w:lang w:eastAsia="en-US"/>
        </w:rPr>
      </w:pP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t>«Безопасность Тихвинского городского поселения»</w:t>
      </w:r>
    </w:p>
    <w:p w14:paraId="7515FB48" w14:textId="77777777" w:rsidR="00EF78AB" w:rsidRPr="00A22FDB" w:rsidRDefault="00EF78AB" w:rsidP="00EF78AB">
      <w:pPr>
        <w:spacing w:after="160"/>
        <w:jc w:val="center"/>
        <w:rPr>
          <w:rFonts w:eastAsia="Calibri"/>
          <w:color w:val="000000"/>
          <w:kern w:val="2"/>
          <w:sz w:val="24"/>
          <w:szCs w:val="24"/>
          <w:lang w:eastAsia="en-US"/>
        </w:rPr>
      </w:pPr>
    </w:p>
    <w:p w14:paraId="6756008D" w14:textId="77777777" w:rsidR="00EF78AB" w:rsidRPr="00A22FDB" w:rsidRDefault="00EF78AB" w:rsidP="00EF78AB">
      <w:pPr>
        <w:jc w:val="center"/>
        <w:rPr>
          <w:rFonts w:eastAsia="Calibri"/>
          <w:b/>
          <w:bCs/>
          <w:color w:val="000000"/>
          <w:kern w:val="2"/>
          <w:sz w:val="24"/>
          <w:szCs w:val="24"/>
          <w:lang w:eastAsia="en-US"/>
        </w:rPr>
      </w:pPr>
      <w:r w:rsidRPr="00A22FDB">
        <w:rPr>
          <w:rFonts w:eastAsia="Calibri"/>
          <w:b/>
          <w:bCs/>
          <w:color w:val="000000"/>
          <w:kern w:val="2"/>
          <w:sz w:val="24"/>
          <w:szCs w:val="24"/>
          <w:lang w:eastAsia="en-US"/>
        </w:rPr>
        <w:t>ПАСПОРТ</w:t>
      </w:r>
    </w:p>
    <w:p w14:paraId="35DC2B6B" w14:textId="77777777" w:rsidR="00EF78AB" w:rsidRDefault="00EF78AB" w:rsidP="00EF78AB">
      <w:pPr>
        <w:jc w:val="center"/>
        <w:rPr>
          <w:rFonts w:eastAsia="Calibri"/>
          <w:b/>
          <w:bCs/>
          <w:color w:val="000000"/>
          <w:kern w:val="2"/>
          <w:szCs w:val="28"/>
          <w:lang w:eastAsia="en-US"/>
        </w:rPr>
      </w:pP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t xml:space="preserve">муниципальной программы </w:t>
      </w:r>
    </w:p>
    <w:p w14:paraId="696003C0" w14:textId="5A7A841B" w:rsidR="00EF78AB" w:rsidRPr="00EF78AB" w:rsidRDefault="00EF78AB" w:rsidP="00EF78AB">
      <w:pPr>
        <w:jc w:val="center"/>
        <w:rPr>
          <w:rFonts w:eastAsia="Calibri"/>
          <w:b/>
          <w:bCs/>
          <w:color w:val="000000"/>
          <w:kern w:val="2"/>
          <w:szCs w:val="28"/>
          <w:lang w:eastAsia="en-US"/>
        </w:rPr>
      </w:pP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t>Тихвинского городского поселения</w:t>
      </w:r>
    </w:p>
    <w:p w14:paraId="237CD77C" w14:textId="77777777" w:rsidR="00EF78AB" w:rsidRPr="00EF78AB" w:rsidRDefault="00EF78AB" w:rsidP="00EF78AB">
      <w:pPr>
        <w:jc w:val="center"/>
        <w:rPr>
          <w:rFonts w:eastAsia="Calibri"/>
          <w:color w:val="000000"/>
          <w:kern w:val="2"/>
          <w:szCs w:val="28"/>
          <w:lang w:eastAsia="en-US"/>
        </w:rPr>
      </w:pPr>
      <w:r w:rsidRPr="00EF78AB">
        <w:rPr>
          <w:rFonts w:eastAsia="Calibri"/>
          <w:b/>
          <w:bCs/>
          <w:color w:val="000000"/>
          <w:kern w:val="2"/>
          <w:szCs w:val="28"/>
          <w:lang w:eastAsia="en-US"/>
        </w:rPr>
        <w:t>«Безопасность Тихвинского городского поселения»</w:t>
      </w:r>
    </w:p>
    <w:p w14:paraId="076377C2" w14:textId="496F314C" w:rsidR="00EF78AB" w:rsidRPr="00A22FDB" w:rsidRDefault="00EF78AB" w:rsidP="00EF78AB">
      <w:pPr>
        <w:spacing w:after="160"/>
        <w:jc w:val="center"/>
        <w:rPr>
          <w:rFonts w:eastAsia="Calibri"/>
          <w:color w:val="000000"/>
          <w:kern w:val="2"/>
          <w:sz w:val="24"/>
          <w:szCs w:val="24"/>
          <w:lang w:eastAsia="en-US"/>
        </w:rPr>
      </w:pPr>
      <w:bookmarkStart w:id="0" w:name="_GoBack"/>
      <w:bookmarkEnd w:id="0"/>
    </w:p>
    <w:tbl>
      <w:tblPr>
        <w:tblW w:w="9075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19"/>
        <w:gridCol w:w="5956"/>
      </w:tblGrid>
      <w:tr w:rsidR="00EF78AB" w:rsidRPr="00A22FDB" w14:paraId="66E69EB9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A70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4D91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2026-2028 годы</w:t>
            </w:r>
          </w:p>
          <w:p w14:paraId="6ACD73F6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</w:tr>
      <w:tr w:rsidR="00EF78AB" w:rsidRPr="00A22FDB" w14:paraId="729C7C86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10E0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29E7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Отдел безопасности и мобилизационной подготовки </w:t>
            </w:r>
          </w:p>
        </w:tc>
      </w:tr>
      <w:tr w:rsidR="00EF78AB" w:rsidRPr="00A22FDB" w14:paraId="2C46BB33" w14:textId="77777777" w:rsidTr="000C2210">
        <w:trPr>
          <w:trHeight w:val="538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1963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DCC7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Линейное отделение министерства внутренних дел России на станции Волховстрой </w:t>
            </w:r>
          </w:p>
        </w:tc>
      </w:tr>
      <w:tr w:rsidR="00EF78AB" w:rsidRPr="00A22FDB" w14:paraId="5DF16328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6580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AE65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bookmarkStart w:id="1" w:name="_Hlk180654388"/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Создание эффективной системы общественной безопасности и правопорядка на территории Тихвинского городского поселения </w:t>
            </w:r>
            <w:bookmarkEnd w:id="1"/>
          </w:p>
        </w:tc>
      </w:tr>
      <w:tr w:rsidR="00EF78AB" w:rsidRPr="00A22FDB" w14:paraId="79B29BC5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E926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14B3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о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беспечения эффективного функционирования систем гражданской обороны, защиты населения и территорий от чрезвычайных ситуаций природного и техногенного характера и пожарной безопасности;</w:t>
            </w:r>
          </w:p>
          <w:p w14:paraId="7DECCBD9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о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беспечение выполнения мероприятий по гражданской обороне, предупреждению и ликвидации чрезвычайных ситуаций природного и техногенного характера, пожаров, происшествий на водных объектах;</w:t>
            </w:r>
          </w:p>
          <w:p w14:paraId="00554636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беспечение общественного порядка и профилактики правонарушений;</w:t>
            </w:r>
          </w:p>
          <w:p w14:paraId="62733B30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п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овышение уровня знаний населения по вопросам безопасности жизнедеятельности. </w:t>
            </w:r>
          </w:p>
        </w:tc>
      </w:tr>
      <w:tr w:rsidR="00EF78AB" w:rsidRPr="00A22FDB" w14:paraId="7B304418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BC0B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Ожидаемые результаты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C5FD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Реализация мероприятий муниципальной программы позволит повысить </w:t>
            </w:r>
            <w:bookmarkStart w:id="2" w:name="_Hlk180659677"/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эффективность системы общественной безопасности и правопорядка на территории Тихвинского городского поселения </w:t>
            </w:r>
            <w:bookmarkEnd w:id="2"/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за счёт:</w:t>
            </w:r>
          </w:p>
          <w:p w14:paraId="39C86C81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-снижения общего уровня риска возникновения чрезвычайных ситуаций природного и техногенного характера на 3% ежегодно;</w:t>
            </w:r>
          </w:p>
          <w:p w14:paraId="58F7526D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снижения гибели и травматизма людей на пожарах на 10% ежегодно;</w:t>
            </w:r>
          </w:p>
          <w:p w14:paraId="2321F6F7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снижение материального ущерба от последствий чрезвычайных ситуаций природного и техногенного характера на 2%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;</w:t>
            </w:r>
          </w:p>
          <w:p w14:paraId="690C33A0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снижение гибели и травматизма людей на водных объектах на 10% ежегодно;</w:t>
            </w:r>
          </w:p>
          <w:p w14:paraId="14256F6C" w14:textId="77777777" w:rsidR="00EF78AB" w:rsidRPr="00A22FDB" w:rsidRDefault="00EF78AB" w:rsidP="000C2210">
            <w:pP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снижения количества правонарушений на территории Тихвинского городского поселения на 3% ежегодно</w:t>
            </w:r>
            <w:r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.</w:t>
            </w:r>
          </w:p>
        </w:tc>
      </w:tr>
      <w:tr w:rsidR="00EF78AB" w:rsidRPr="00A22FDB" w14:paraId="2E585ED4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3FF6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81ED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Реализация подпрограмм не предусмотрена </w:t>
            </w:r>
          </w:p>
        </w:tc>
      </w:tr>
      <w:tr w:rsidR="00EF78AB" w:rsidRPr="00A22FDB" w14:paraId="0818C733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BD11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E4AE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Реализация проектов не предусмотрена </w:t>
            </w:r>
          </w:p>
        </w:tc>
      </w:tr>
      <w:tr w:rsidR="00EF78AB" w:rsidRPr="00A22FDB" w14:paraId="66C5C105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96CA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Финансовое обеспечение </w:t>
            </w:r>
          </w:p>
          <w:p w14:paraId="140BA41E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муниципальной программы, всего, в том числе по годам реализации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D97C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на 2026-2028 годы составляет   </w:t>
            </w:r>
            <w:r w:rsidRPr="00A22FDB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en-US"/>
              </w:rPr>
              <w:t>10510,5 тыс. руб.</w:t>
            </w:r>
          </w:p>
          <w:p w14:paraId="31DB2192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    в том числе по годам:</w:t>
            </w:r>
          </w:p>
          <w:p w14:paraId="3EA3A85E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    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u w:val="single"/>
                <w:lang w:eastAsia="en-US"/>
              </w:rPr>
              <w:t>2026 год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– </w:t>
            </w:r>
            <w:r w:rsidRPr="00A22FDB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en-US"/>
              </w:rPr>
              <w:t>3503,5 тыс. руб.</w:t>
            </w:r>
          </w:p>
          <w:p w14:paraId="277EFF2F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    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u w:val="single"/>
                <w:lang w:eastAsia="en-US"/>
              </w:rPr>
              <w:t>2027 год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-</w:t>
            </w:r>
            <w:r w:rsidRPr="00A22FDB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en-US"/>
              </w:rPr>
              <w:t xml:space="preserve"> 3503,5 тыс. руб.</w:t>
            </w:r>
          </w:p>
          <w:p w14:paraId="4E106A2B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    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u w:val="single"/>
                <w:lang w:eastAsia="en-US"/>
              </w:rPr>
              <w:t>2028 год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 -  </w:t>
            </w:r>
            <w:r w:rsidRPr="00A22FDB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en-US"/>
              </w:rPr>
              <w:t>3503,5 тыс. руб</w:t>
            </w: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.</w:t>
            </w:r>
          </w:p>
        </w:tc>
      </w:tr>
      <w:tr w:rsidR="00EF78AB" w:rsidRPr="00A22FDB" w14:paraId="1D546D3F" w14:textId="77777777" w:rsidTr="000C22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CF02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 </w:t>
            </w:r>
          </w:p>
        </w:tc>
        <w:tc>
          <w:tcPr>
            <w:tcW w:w="5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52AD" w14:textId="77777777" w:rsidR="00EF78AB" w:rsidRPr="00A22FDB" w:rsidRDefault="00EF78AB" w:rsidP="000C2210">
            <w:pPr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A22FDB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4D0BB174" w14:textId="77777777" w:rsidR="00752D27" w:rsidRPr="00EF78AB" w:rsidRDefault="00752D27" w:rsidP="00EF78AB">
      <w:pPr>
        <w:rPr>
          <w:rFonts w:eastAsia="Calibri"/>
        </w:rPr>
      </w:pPr>
    </w:p>
    <w:sectPr w:rsidR="00752D27" w:rsidRPr="00EF78AB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7F0DA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D2474F"/>
    <w:rsid w:val="00D368DC"/>
    <w:rsid w:val="00D97342"/>
    <w:rsid w:val="00EF78AB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3</cp:revision>
  <cp:lastPrinted>2023-11-13T13:51:00Z</cp:lastPrinted>
  <dcterms:created xsi:type="dcterms:W3CDTF">2025-11-11T11:54:00Z</dcterms:created>
  <dcterms:modified xsi:type="dcterms:W3CDTF">2025-11-11T12:41:00Z</dcterms:modified>
</cp:coreProperties>
</file>